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Заявка за участие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 настоящата заявка </w:t>
      </w:r>
      <w:r w:rsidDel="00000000" w:rsidR="00000000" w:rsidRPr="00000000">
        <w:rPr>
          <w:sz w:val="20"/>
          <w:szCs w:val="20"/>
          <w:rtl w:val="0"/>
        </w:rPr>
        <w:t xml:space="preserve">потвърждавам участието на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представляваната от мен компания в конкурс за проекти в обществена полза “Творци на бъдещето”, с водеща организация Българската мрежа на Глобалния договор на ООН.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Данни за компанията-участник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4001"/>
        <w:tblGridChange w:id="0">
          <w:tblGrid>
            <w:gridCol w:w="5211"/>
            <w:gridCol w:w="4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Официално име на компанията/ организацията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на български и английски език, така както искате да се изписва в информационната кампания: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Контакти на лицето, отговарящо за програмата: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Електронна поща/Телефон: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Няма такса за участие за компании и служители, от заявилите участие компании се очаква да сп</w:t>
      </w:r>
      <w:r w:rsidDel="00000000" w:rsidR="00000000" w:rsidRPr="00000000">
        <w:rPr>
          <w:sz w:val="20"/>
          <w:szCs w:val="20"/>
          <w:rtl w:val="0"/>
        </w:rPr>
        <w:t xml:space="preserve">азят ангажиментите, описани в Общите условия на проекта и да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подкрепят реализирането на одобрените </w:t>
      </w:r>
      <w:r w:rsidDel="00000000" w:rsidR="00000000" w:rsidRPr="00000000">
        <w:rPr>
          <w:rFonts w:ascii="Calibri" w:cs="Calibri" w:eastAsia="Calibri" w:hAnsi="Calibri"/>
          <w:color w:val="333333"/>
          <w:sz w:val="20"/>
          <w:szCs w:val="20"/>
          <w:rtl w:val="0"/>
        </w:rPr>
        <w:t xml:space="preserve">идеи в случай, че са от техни служители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С присъединяването си към проекта, долуподписаният ……………………………………..……………………………………………………………………………..…., </w:t>
        <w:br w:type="textWrapping"/>
        <w:t xml:space="preserve">в качеството си на отговарящ за …………….…………………………………………………………, компания-участник в “Творци на бъдещето”, декларирам, че съм запознат и приемам Общите условия, регламента и визуализационните ресурси.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Подпис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За повече информация: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Даринка Георгиева (тел. 0882 173 188)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Елена Матеева (тел.0889 666 229</w:t>
      </w:r>
      <w:r w:rsidDel="00000000" w:rsidR="00000000" w:rsidRPr="00000000">
        <w:rPr>
          <w:rFonts w:ascii="Calibri" w:cs="Calibri" w:eastAsia="Calibri" w:hAnsi="Calibri"/>
          <w:color w:val="01546e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Българска мрежа на Глобалния договор на ООН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secretariat@unglobalcompact.bg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www.unglobalcompact.bg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www.unglobalcompact.org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573"/>
          <w:tab w:val="center" w:pos="4393"/>
        </w:tabs>
        <w:spacing w:after="120" w:before="120"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ab/>
        <w:tab/>
        <w:t xml:space="preserve">ОБЩИ УСЛОВИЯ</w:t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Чл.1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 Настоящите общи условия определят реда за включване на участници в дейностите на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Конкурс за проекти в обществена полза “Творци на бъдещето”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(наричан за краткост </w:t>
      </w:r>
      <w:r w:rsidDel="00000000" w:rsidR="00000000" w:rsidRPr="00000000">
        <w:rPr>
          <w:sz w:val="16"/>
          <w:szCs w:val="16"/>
          <w:rtl w:val="0"/>
        </w:rPr>
        <w:t xml:space="preserve">КОНКУРСЪТ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). </w:t>
      </w:r>
      <w:r w:rsidDel="00000000" w:rsidR="00000000" w:rsidRPr="00000000">
        <w:rPr>
          <w:sz w:val="16"/>
          <w:szCs w:val="16"/>
          <w:rtl w:val="0"/>
        </w:rPr>
        <w:t xml:space="preserve">КОНКУРСЪТ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се изпълнява от сдружение „Българска мрежа на Глобалния договор на ООН” като водеща организация, с подкрепата на Пощенска банка.</w:t>
      </w:r>
    </w:p>
    <w:p w:rsidR="00000000" w:rsidDel="00000000" w:rsidP="00000000" w:rsidRDefault="00000000" w:rsidRPr="00000000" w14:paraId="0000002C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Чл.2.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Участници в </w:t>
      </w:r>
      <w:r w:rsidDel="00000000" w:rsidR="00000000" w:rsidRPr="00000000">
        <w:rPr>
          <w:sz w:val="16"/>
          <w:szCs w:val="16"/>
          <w:rtl w:val="0"/>
        </w:rPr>
        <w:t xml:space="preserve">КОНКУРСА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са компаниите, попълнили и изпратили в срок документи за присъединяване.  </w:t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</w:t>
      </w:r>
      <w:r w:rsidDel="00000000" w:rsidR="00000000" w:rsidRPr="00000000">
        <w:rPr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 Водещата организация има ангажимент да: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Предостави методическа, техническа и координационна помощ при изпълнение на </w:t>
      </w:r>
      <w:r w:rsidDel="00000000" w:rsidR="00000000" w:rsidRPr="00000000">
        <w:rPr>
          <w:sz w:val="16"/>
          <w:szCs w:val="16"/>
          <w:rtl w:val="0"/>
        </w:rPr>
        <w:t xml:space="preserve">КОНКУРСА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Осигури организационни и </w:t>
      </w:r>
      <w:r w:rsidDel="00000000" w:rsidR="00000000" w:rsidRPr="00000000">
        <w:rPr>
          <w:sz w:val="16"/>
          <w:szCs w:val="16"/>
          <w:rtl w:val="0"/>
        </w:rPr>
        <w:t xml:space="preserve">комуникационни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насоки за изпълнение на </w:t>
      </w:r>
      <w:r w:rsidDel="00000000" w:rsidR="00000000" w:rsidRPr="00000000">
        <w:rPr>
          <w:sz w:val="16"/>
          <w:szCs w:val="16"/>
          <w:rtl w:val="0"/>
        </w:rPr>
        <w:t xml:space="preserve">КОНКУРСА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Да предостави и информира участващите компании за резултатите от </w:t>
      </w:r>
      <w:r w:rsidDel="00000000" w:rsidR="00000000" w:rsidRPr="00000000">
        <w:rPr>
          <w:sz w:val="16"/>
          <w:szCs w:val="16"/>
          <w:rtl w:val="0"/>
        </w:rPr>
        <w:t xml:space="preserve">КОНКУРСА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Да популяризира концепцията и посланията на </w:t>
      </w:r>
      <w:r w:rsidDel="00000000" w:rsidR="00000000" w:rsidRPr="00000000">
        <w:rPr>
          <w:sz w:val="16"/>
          <w:szCs w:val="16"/>
          <w:rtl w:val="0"/>
        </w:rPr>
        <w:t xml:space="preserve">КОНКУРСА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, упоменавайки дейностите и наименованията на компаниите участници.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Да предостави на участниците в </w:t>
      </w:r>
      <w:r w:rsidDel="00000000" w:rsidR="00000000" w:rsidRPr="00000000">
        <w:rPr>
          <w:sz w:val="16"/>
          <w:szCs w:val="16"/>
          <w:rtl w:val="0"/>
        </w:rPr>
        <w:t xml:space="preserve">КОНКУРСА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текст – описание на инициативата (“boilerplate”), участниците и списък на медийните партньори и  логата им.</w:t>
      </w:r>
    </w:p>
    <w:p w:rsidR="00000000" w:rsidDel="00000000" w:rsidP="00000000" w:rsidRDefault="00000000" w:rsidRPr="00000000" w14:paraId="00000033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</w:t>
      </w: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Участниците в </w:t>
      </w:r>
      <w:r w:rsidDel="00000000" w:rsidR="00000000" w:rsidRPr="00000000">
        <w:rPr>
          <w:sz w:val="16"/>
          <w:szCs w:val="16"/>
          <w:rtl w:val="0"/>
        </w:rPr>
        <w:t xml:space="preserve">КОНКУРСА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имат ангажимент да: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Разпространят информация за конкурса към своите служители;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Насърчат служителите си да се включат в конкурса;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случай, че компания-участник работи активно по някоя от Целите, може да насърчи служители си да работят приоритетно по нея;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Оценят получените проекти и да изпратят до 5 от тях към секретариата на Българската мрежа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Популяризират принадлежността на компанията си към </w:t>
      </w:r>
      <w:r w:rsidDel="00000000" w:rsidR="00000000" w:rsidRPr="00000000">
        <w:rPr>
          <w:sz w:val="16"/>
          <w:szCs w:val="16"/>
          <w:rtl w:val="0"/>
        </w:rPr>
        <w:t xml:space="preserve">инициативата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на Глобалния Договор на ООН, десетте принципа и Целите за устойчиво развитие;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Популяризират концепцията, посланията и дейностите на проекта при спазване на правилата за визуализация, цитиране на водещата организация и споменаване на медийните партньори;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Използват описанието на инициативата (“boilerplate”), да споменават организатора й БМГД при съобщения, интервюта, </w:t>
      </w:r>
      <w:r w:rsidDel="00000000" w:rsidR="00000000" w:rsidRPr="00000000">
        <w:rPr>
          <w:sz w:val="16"/>
          <w:szCs w:val="16"/>
          <w:rtl w:val="0"/>
        </w:rPr>
        <w:t xml:space="preserve">пресс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-конференции и други инициативи, свързани с ПРОЕКТА;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Споменат партньора/и във възможно най-голям брой от материалите, които използват за популяризиране на </w:t>
      </w:r>
      <w:r w:rsidDel="00000000" w:rsidR="00000000" w:rsidRPr="00000000">
        <w:rPr>
          <w:sz w:val="16"/>
          <w:szCs w:val="16"/>
          <w:rtl w:val="0"/>
        </w:rPr>
        <w:t xml:space="preserve">КОНКУРСА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(например: плакати, анонси на интернет страницата, покани, вътрешни бюлетини, банери и др.)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Да изпратят обобщена информация и снимки за реализирането и популяризирането на ПРОЕКТА и споменаването на медийните партньори.</w:t>
      </w:r>
    </w:p>
    <w:p w:rsidR="00000000" w:rsidDel="00000000" w:rsidP="00000000" w:rsidRDefault="00000000" w:rsidRPr="00000000" w14:paraId="0000003D">
      <w:pPr>
        <w:spacing w:after="120" w:before="120" w:line="240" w:lineRule="auto"/>
        <w:jc w:val="both"/>
        <w:rPr>
          <w:rFonts w:ascii="Calibri" w:cs="Calibri" w:eastAsia="Calibri" w:hAnsi="Calibri"/>
          <w:strike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</w:t>
      </w:r>
      <w:r w:rsidDel="00000000" w:rsidR="00000000" w:rsidRPr="00000000">
        <w:rPr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Лични данни на участници в </w:t>
      </w:r>
      <w:r w:rsidDel="00000000" w:rsidR="00000000" w:rsidRPr="00000000">
        <w:rPr>
          <w:sz w:val="16"/>
          <w:szCs w:val="16"/>
          <w:rtl w:val="0"/>
        </w:rPr>
        <w:t xml:space="preserve">КОНКУРСА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(служители), се събират единствено с тяхно изрично писмено съгласие </w:t>
      </w:r>
      <w:r w:rsidDel="00000000" w:rsidR="00000000" w:rsidRPr="00000000">
        <w:rPr>
          <w:sz w:val="16"/>
          <w:szCs w:val="16"/>
          <w:rtl w:val="0"/>
        </w:rPr>
        <w:t xml:space="preserve">и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имат за цел да представят участниците и техните компании</w:t>
      </w:r>
      <w:r w:rsidDel="00000000" w:rsidR="00000000" w:rsidRPr="00000000">
        <w:rPr>
          <w:sz w:val="16"/>
          <w:szCs w:val="16"/>
          <w:rtl w:val="0"/>
        </w:rPr>
        <w:t xml:space="preserve"> и се съхраняват до 6 месеца след приключването на проекта. Личните данни, които ще бъдат събирани</w:t>
      </w:r>
      <w:r w:rsidDel="00000000" w:rsidR="00000000" w:rsidRPr="00000000">
        <w:rPr>
          <w:sz w:val="16"/>
          <w:szCs w:val="16"/>
          <w:rtl w:val="0"/>
        </w:rPr>
        <w:t xml:space="preserve"> включват  имена, длъжност, професия, работно място/учебно заведение, снимка.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</w:t>
      </w:r>
      <w:r w:rsidDel="00000000" w:rsidR="00000000" w:rsidRPr="00000000">
        <w:rPr>
          <w:b w:val="1"/>
          <w:sz w:val="16"/>
          <w:szCs w:val="16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 Участниците в дейностите на </w:t>
      </w:r>
      <w:r w:rsidDel="00000000" w:rsidR="00000000" w:rsidRPr="00000000">
        <w:rPr>
          <w:sz w:val="16"/>
          <w:szCs w:val="16"/>
          <w:rtl w:val="0"/>
        </w:rPr>
        <w:t xml:space="preserve">КОНКУРСА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се ангажират да споделят опита и знанията, придобити </w:t>
      </w:r>
      <w:r w:rsidDel="00000000" w:rsidR="00000000" w:rsidRPr="00000000">
        <w:rPr>
          <w:sz w:val="16"/>
          <w:szCs w:val="16"/>
          <w:rtl w:val="0"/>
        </w:rPr>
        <w:t xml:space="preserve">по време на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участието в проекта в организациите си, вкл. и приноса на БМГД на ООН за осъществяване на проектните дейности.</w:t>
      </w:r>
    </w:p>
    <w:p w:rsidR="00000000" w:rsidDel="00000000" w:rsidP="00000000" w:rsidRDefault="00000000" w:rsidRPr="00000000" w14:paraId="0000003F">
      <w:pP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Чл.</w:t>
      </w:r>
      <w:r w:rsidDel="00000000" w:rsidR="00000000" w:rsidRPr="00000000">
        <w:rPr>
          <w:b w:val="1"/>
          <w:sz w:val="16"/>
          <w:szCs w:val="16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Участниците се ангажират да спазват доброто име и репутация на водещата организация и останалите компании.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Calibri" w:cs="Calibri" w:eastAsia="Calibri" w:hAnsi="Calibri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За Конкурса за проекти в обществена полза “Творци на бъдещето”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Конкурсът за проекти в обществена полза “Творци на бъдещето”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е инициатива на Българската мрежа на Глобалния договор на ООН. Целта на конкурса е популяризиране на Целите за устойчиво развитие сред служителите на компаниите и организациите на Глобалния договор, като се покаже връзката между конкретни проекти и Целите, и се подкрепят дейности за тяхното постигане, инициирани от служителите.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Конкурсът е предназначен за организации-членове на Глобалния договор на ООН в България, като могат да не са част от Българската мрежа. Конкурсът е предназначен за служителите на организациите-членове: служителите, с техния творчески и съзидателен потенциал, и лична ангажираност с различни теми - опазване на околната среда, залесяване, замърсяване, по-добро образование, здравеопазване, безопасно събиране на електронни отпадъци, опазване на здравето, имат водеща роля. Макар с различно образование и професионална реализация, те са обединени от етични норми и отговорност към обществото на компаниите, за които работят. Конкурсът ще канализира този потенциал на служителите и ще подпомогне реализирането на най-конкурентните проекти.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Проектите, които ще бъдат изпращани от служителите, трябва да предлагат решение по някоя от Целите за устойчиво развитие, по които работи Българската мрежа, а именно: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Околна среда. Запазване на биоразнообразието.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Качествено образование - напр. връзка на образованието с бизнеса; lifelong learning; дигитални умения.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Антикорупция. Фалшиви новини.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Добро здраве: работодателят като достоверен източник на здравна информация и мерки; насърчаване на ваксинацията; психическо здраве; спорт; здравословно хранене и др.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Сигурна работа и икономически растеж - work-life balance, учене през целия живот; нови отношения фирма-служители и др.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Успешните проекти трябва да отговарят на някои задължителни условия, каквито са приложимост в повече от една компания или регион, степен на новост или иновативност, участие на различни заинтересовани страни, вкл. местни общности, устойчивост във времето и резултатите. 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38" w:w="11906" w:orient="portrait"/>
      <w:pgMar w:bottom="1134" w:top="1191" w:left="1418" w:right="1701" w:header="113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94560" cy="6400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0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ps" w:customStyle="1">
    <w:name w:val="hps"/>
    <w:basedOn w:val="DefaultParagraphFont"/>
    <w:rsid w:val="009D7161"/>
  </w:style>
  <w:style w:type="character" w:styleId="shorttext" w:customStyle="1">
    <w:name w:val="short_text"/>
    <w:basedOn w:val="DefaultParagraphFont"/>
    <w:rsid w:val="009D7161"/>
  </w:style>
  <w:style w:type="table" w:styleId="TableGrid">
    <w:name w:val="Table Grid"/>
    <w:basedOn w:val="TableNormal"/>
    <w:uiPriority w:val="59"/>
    <w:rsid w:val="00FB0E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02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0256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617A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617A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019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912"/>
  </w:style>
  <w:style w:type="paragraph" w:styleId="Footer">
    <w:name w:val="footer"/>
    <w:basedOn w:val="Normal"/>
    <w:link w:val="FooterChar"/>
    <w:uiPriority w:val="99"/>
    <w:unhideWhenUsed w:val="1"/>
    <w:rsid w:val="004019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912"/>
  </w:style>
  <w:style w:type="paragraph" w:styleId="ListParagraph">
    <w:name w:val="List Paragraph"/>
    <w:basedOn w:val="Normal"/>
    <w:uiPriority w:val="34"/>
    <w:qFormat w:val="1"/>
    <w:rsid w:val="000E0A92"/>
    <w:pPr>
      <w:ind w:left="720"/>
      <w:contextualSpacing w:val="1"/>
    </w:p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705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hyperlink" Target="http://www.unglobalcompact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iat@unglobalcompact.bg" TargetMode="External"/><Relationship Id="rId8" Type="http://schemas.openxmlformats.org/officeDocument/2006/relationships/hyperlink" Target="http://www.unglobalcompact.b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0+S5BUSIOrgBjeTCAD3YTU35Kw==">AMUW2mUc54hRGPHLfubli9wlGzh2yebEPlua1weRFkLtp+N0qYFpWttY3/QLEYueRSlG2yhdOx4u4MCd9Y5xJpY29m9arDZHrT7wH9mnDvMkDAj0nTIF3eC5wsrXYqCNqEPTSCVRPwiA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2022-03-28T08:15:00Z</dcterms:created>
  <dc:creator>Потребител</dc:creator>
</cp:coreProperties>
</file>